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2" w:rsidRDefault="00D115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542" w:rsidRDefault="00D11542">
      <w:pPr>
        <w:pStyle w:val="ConsPlusNormal"/>
        <w:jc w:val="both"/>
        <w:outlineLvl w:val="0"/>
      </w:pPr>
    </w:p>
    <w:p w:rsidR="00D11542" w:rsidRDefault="00D11542">
      <w:pPr>
        <w:pStyle w:val="ConsPlusNormal"/>
        <w:outlineLvl w:val="0"/>
      </w:pPr>
      <w:r>
        <w:t>Зарегистрировано в Минюсте России 21 августа 2017 г. N 47879</w:t>
      </w:r>
    </w:p>
    <w:p w:rsidR="00D11542" w:rsidRDefault="00D11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11542" w:rsidRDefault="00D11542">
      <w:pPr>
        <w:pStyle w:val="ConsPlusTitle"/>
        <w:jc w:val="both"/>
      </w:pPr>
    </w:p>
    <w:p w:rsidR="00D11542" w:rsidRDefault="00D11542">
      <w:pPr>
        <w:pStyle w:val="ConsPlusTitle"/>
        <w:jc w:val="center"/>
      </w:pPr>
      <w:r>
        <w:t>ПРИКАЗ</w:t>
      </w:r>
    </w:p>
    <w:p w:rsidR="00D11542" w:rsidRDefault="00D11542">
      <w:pPr>
        <w:pStyle w:val="ConsPlusTitle"/>
        <w:jc w:val="center"/>
      </w:pPr>
      <w:r>
        <w:t>от 9 июня 2017 г. N 284</w:t>
      </w:r>
    </w:p>
    <w:p w:rsidR="00D11542" w:rsidRDefault="00D11542">
      <w:pPr>
        <w:pStyle w:val="ConsPlusTitle"/>
        <w:jc w:val="both"/>
      </w:pPr>
    </w:p>
    <w:p w:rsidR="00D11542" w:rsidRDefault="00D11542">
      <w:pPr>
        <w:pStyle w:val="ConsPlusTitle"/>
        <w:jc w:val="center"/>
      </w:pPr>
      <w:r>
        <w:t>ОБ УТВЕРЖДЕНИИ ТРЕБОВАНИЙ</w:t>
      </w:r>
    </w:p>
    <w:p w:rsidR="00D11542" w:rsidRDefault="00D11542">
      <w:pPr>
        <w:pStyle w:val="ConsPlusTitle"/>
        <w:jc w:val="center"/>
      </w:pPr>
      <w:r>
        <w:t>К ОТЧЕТУ ОБ ИТОГАХ ГОСУДАРСТВЕННОЙ КАДАСТРОВОЙ ОЦЕНКИ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2569), приказываю:</w:t>
      </w:r>
      <w:proofErr w:type="gramEnd"/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6" w:history="1">
        <w:r>
          <w:rPr>
            <w:color w:val="0000FF"/>
          </w:rPr>
          <w:t>Требования</w:t>
        </w:r>
      </w:hyperlink>
      <w:r>
        <w:t xml:space="preserve"> к отчету об итогах государственной кадастровой оценки согласно приложению к настоящему приказу.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right"/>
      </w:pPr>
      <w:r>
        <w:t>Министр</w:t>
      </w:r>
    </w:p>
    <w:p w:rsidR="00D11542" w:rsidRDefault="00D11542">
      <w:pPr>
        <w:pStyle w:val="ConsPlusNormal"/>
        <w:jc w:val="right"/>
      </w:pPr>
      <w:r>
        <w:t>М.С.ОРЕШКИН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right"/>
        <w:outlineLvl w:val="0"/>
      </w:pPr>
      <w:r>
        <w:t>Приложение</w:t>
      </w:r>
    </w:p>
    <w:p w:rsidR="00D11542" w:rsidRDefault="00D11542">
      <w:pPr>
        <w:pStyle w:val="ConsPlusNormal"/>
        <w:jc w:val="right"/>
      </w:pPr>
      <w:r>
        <w:t>к приказу Минэкономразвития России</w:t>
      </w:r>
    </w:p>
    <w:p w:rsidR="00D11542" w:rsidRDefault="00D11542">
      <w:pPr>
        <w:pStyle w:val="ConsPlusNormal"/>
        <w:jc w:val="right"/>
      </w:pPr>
      <w:r>
        <w:t>от 09.06.2017 N 284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</w:pPr>
      <w:bookmarkStart w:id="0" w:name="P26"/>
      <w:bookmarkEnd w:id="0"/>
      <w:r>
        <w:t>ТРЕБОВАНИЯ</w:t>
      </w:r>
    </w:p>
    <w:p w:rsidR="00D11542" w:rsidRDefault="00D11542">
      <w:pPr>
        <w:pStyle w:val="ConsPlusTitle"/>
        <w:jc w:val="center"/>
      </w:pPr>
      <w:r>
        <w:t>К ОТЧЕТУ ОБ ИТОГАХ ГОСУДАРСТВЕННОЙ КАДАСТРОВОЙ ОЦЕНКИ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  <w:outlineLvl w:val="1"/>
      </w:pPr>
      <w:r>
        <w:t>I. Общие положения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ind w:firstLine="540"/>
        <w:jc w:val="both"/>
      </w:pPr>
      <w:r>
        <w:t>1. Настоящие Требования содержат правила составления отчета об итогах государственной кадастровой оценки (далее - Отчет) бюджетными учреждениями субъектов Российской Федерации, уполномоченными в сфере государственной кадастровой оценки (далее - бюджетные учреждения).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2. Отчет включает основную часть Отчета и приложения к Отчету.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В основную часть Отчета и приложения к Отчету, предусмотренные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 w:history="1">
        <w:r>
          <w:rPr>
            <w:color w:val="0000FF"/>
          </w:rPr>
          <w:t>"д" пункта 10</w:t>
        </w:r>
      </w:hyperlink>
      <w:r>
        <w:t xml:space="preserve"> настоящих Требований, не подлежат включению сведения и материалы, содержащие информацию, доступ к которой ограничен федеральными законами (далее - сведения и материалы, содержащие информацию, доступ к которой ограничен).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lastRenderedPageBreak/>
        <w:t xml:space="preserve">Сведения и материалы, содержащие информацию, доступ к которой ограничен, оформляются отдельным приложением к Отчету в соответствии с требованиями к основной части Отчета настоящих Требований и требований к приложениям к Отчету, предусмотренных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7" w:history="1">
        <w:r>
          <w:rPr>
            <w:color w:val="0000FF"/>
          </w:rPr>
          <w:t>"д" пункта 10</w:t>
        </w:r>
      </w:hyperlink>
      <w:r>
        <w:t xml:space="preserve"> настоящих Требований.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  <w:outlineLvl w:val="1"/>
      </w:pPr>
      <w:r>
        <w:t>II. Требования к основной части Отчета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ind w:firstLine="540"/>
        <w:jc w:val="both"/>
      </w:pPr>
      <w:r>
        <w:t>3. Основная часть Отчета должна иметь следующую структуру: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а) содержание;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б) основные термины, используемые в Отчете, и их определения;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в) вводная глава;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г) расчетная глава;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д) заключительная глава.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4. Основная часть Отчета составляется на электронном носителе в форме электронного документа и на бумажном носителе в соответствии с настоящими Требованиями.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5. Основная часть Отчета должна быть пронумерована постранично. Основная часть Отчета, составленная на бумажном носителе, должна быть прошита.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6. Основная часть Отчета, составленная в форме электронного документа на электронном носителе, подписывается усиленной квалифицированной электронной подписью в формате, обеспечивающем просмотр и копирование подписанных электронных документов без использования специальных программных средств.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Основная часть Отчета подписывается работниками бюджетного учреждения, непосредственно осуществившими определение кадастровой стоимости, руководителем такого бюджетного учреждения.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</w:t>
      </w:r>
      <w:proofErr w:type="gramEnd"/>
      <w:r>
        <w:t xml:space="preserve"> вводной главе основной части Отчета указываются: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а) наименование субъекта Российской Федерации, на территории которого проводилась государственная кадастровая оценка;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б) реквизиты (наименование, дата подписания (утверждения), номер) решения о проведении государственной кадастровой оценки, вид или виды объектов недвижимости, в отношении которых принято решение о проведении государственной кадастровой оценки, категория или категории земель в случае, если объектами недвижимости, подлежавшими государственной кадастровой оценке, являлись земельные участки;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в) реквизиты (наименование, дата подписания (утверждения), номер) Отчета;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г) дата, по состоянию на которую определена кадастровая стоимость объектов недвижимости;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д) перечень документов, которые использовались при определении кадастровой стоимости объектов недвижимости, содержащий их наименования и иные реквизиты (дата подписания (утверждения), номер);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е) схема организации проведения работ по определению кадастровой стоимости и их описание;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lastRenderedPageBreak/>
        <w:t>ж) сведения о работниках бюджетного учреждения, непосредственно осуществивших определение кадастровой стоимости, руководителе такого бюджетного учреждения;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з) сведения о допущениях, использованных при определении кадастровой стоимости.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8. В расчетной главе основной части Отчета указываются:</w:t>
      </w:r>
    </w:p>
    <w:p w:rsidR="00D11542" w:rsidRDefault="00D11542">
      <w:pPr>
        <w:pStyle w:val="ConsPlusNormal"/>
        <w:spacing w:before="220"/>
        <w:ind w:firstLine="540"/>
        <w:jc w:val="both"/>
      </w:pPr>
      <w:proofErr w:type="gramStart"/>
      <w:r>
        <w:t>а) анализ информации о рынке объектов недвижимости (в том числе анализ информации, не относящейся непосредственно к объектам недвижимости, подлежащим государственной кадастровой оценке, но влияющей на их стоимость), информация об определении ценообразующих факторов и источниках сведений о них, обоснование моделей оценки кадастровой стоимости;</w:t>
      </w:r>
      <w:proofErr w:type="gramEnd"/>
    </w:p>
    <w:p w:rsidR="00D11542" w:rsidRDefault="00D11542">
      <w:pPr>
        <w:pStyle w:val="ConsPlusNormal"/>
        <w:spacing w:before="220"/>
        <w:ind w:firstLine="540"/>
        <w:jc w:val="both"/>
      </w:pPr>
      <w:r>
        <w:t>б) описание и обоснование подходов к выбору типового объекта недвижимости в целях проведения оценочного зонирования;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в) обоснование подходов к сегментации объектов недвижимости, подлежащих государственной кадастровой оценке, в целях их группировки;</w:t>
      </w:r>
    </w:p>
    <w:p w:rsidR="00D11542" w:rsidRDefault="00D11542">
      <w:pPr>
        <w:pStyle w:val="ConsPlusNormal"/>
        <w:spacing w:before="220"/>
        <w:ind w:firstLine="540"/>
        <w:jc w:val="both"/>
      </w:pPr>
      <w:proofErr w:type="gramStart"/>
      <w:r>
        <w:t xml:space="preserve">г) обоснование отказа от использования ценообразующих факторов, предусмотренных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о государственной кадастровой оценке, утвержденными приказом Минэкономразвития России от 12 мая 2017 г. N 226 "Об утверждении методических указаний о государственной кадастровой оценке" (зарегистрирован Минюстом России 29 мая 2017 г., регистрационный N 46860) (далее - Методические указания);</w:t>
      </w:r>
      <w:proofErr w:type="gramEnd"/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д) обоснование использования ценообразующих факторов, не предусмотренных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>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е) обоснование выбора подходов и методов, использованных для определения кадастровой стоимости объектов недвижимости;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ж) информация об определении кадастровой стоимости индивидуально в отношении объектов недвижимости.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9. В заключительной главе основной части Отчета должна быть представлена информация об итогах </w:t>
      </w:r>
      <w:proofErr w:type="gramStart"/>
      <w:r>
        <w:t>контроля качества результатов определения кадастровой стоимости</w:t>
      </w:r>
      <w:proofErr w:type="gramEnd"/>
      <w:r>
        <w:t>.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  <w:outlineLvl w:val="1"/>
      </w:pPr>
      <w:r>
        <w:t>III. Требования к приложениям к Отчету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ind w:firstLine="540"/>
        <w:jc w:val="both"/>
      </w:pPr>
      <w:r>
        <w:t>10. Отчет включает следующие приложения:</w:t>
      </w:r>
    </w:p>
    <w:p w:rsidR="00D11542" w:rsidRDefault="00D11542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а) исходные данные, включающие: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копию решения о проведении государственной кадастровой оценки;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результаты сбора и обработки информации, необходимой для определения кадастровой стоимости, полученной в ходе мероприятий по подготовке к проведению государственной кадастровой оценки;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перечень объектов недвижимости, подлежащих государственной кадастровой оценке (далее - перечень);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результаты обработки информации, содержащейся в перечне, в том числе об определении вида использования объектов недвижимости по согласованию с уполномоченным в сфере проведения государственной кадастровой оценки органом исполнительной власти субъекта Российской Федерации и органами местного самоуправления, на территории которых </w:t>
      </w:r>
      <w:r>
        <w:lastRenderedPageBreak/>
        <w:t>расположены объекты недвижимости;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 и причин ее неполучения);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исходные данные, использованные для определения значений ценообразующих факторов, в том числе цифровые тематические карты, картографические материалы и другие графические материалы, таблицы;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результаты сбора информации о рынке объектов недвижимости (в том числе информации, не относящейся непосредственно к объектам недвижимости, подлежащим государственной кадастровой оценке, но влияющей на их стоимость);</w:t>
      </w:r>
    </w:p>
    <w:p w:rsidR="00D11542" w:rsidRDefault="00D11542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б) результаты определения кадастровой стоимости, состоящие </w:t>
      </w:r>
      <w:proofErr w:type="gramStart"/>
      <w:r>
        <w:t>из</w:t>
      </w:r>
      <w:proofErr w:type="gramEnd"/>
      <w:r>
        <w:t>: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сведений о ценообразующих факторах, использованных при определении кадастровой стоимости, и о значениях таких факторов (для каждого объекта недвижимости);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результатов оценочного зонирования;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результатов группировки объектов недвижимости (для каждого объекта недвижимости);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обоснования использованных при определении кадастровой стоимости моделей с описанием их структуры;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сведений о способе определения кадастровой стоимости (массово или индивидуально) с указанием моделей, подходов, методов, использованных при определении кадастровой стоимости (для каждого объекта недвижимости);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сведений о величине кадастровой стоимости (для каждого объекта недвижимости);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в) сведения о результатах определения кадастровой стоимости объектов недвижимости, кадастровая стоимость которых определена индивидуально;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г) справку, содержащую 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документам, а также об исправлении выявленных нарушений настоящих Требований;</w:t>
      </w:r>
    </w:p>
    <w:p w:rsidR="00D11542" w:rsidRDefault="00D11542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д) файлы в формате XML, </w:t>
      </w:r>
      <w:proofErr w:type="gramStart"/>
      <w:r>
        <w:t>содержащие</w:t>
      </w:r>
      <w:proofErr w:type="gramEnd"/>
      <w:r>
        <w:t xml:space="preserve"> в том числе систематизированные сведения о характеристиках объектов недвижимости, использованных при определении их кадастровой стоимости, и результатах определения кадастровой стоимости в объеме, предусмотренном </w:t>
      </w:r>
      <w:hyperlink w:anchor="P78" w:history="1">
        <w:r>
          <w:rPr>
            <w:color w:val="0000FF"/>
          </w:rPr>
          <w:t>подпунктом "б"</w:t>
        </w:r>
      </w:hyperlink>
      <w:r>
        <w:t xml:space="preserve"> настоящего пункта Требований (далее - XML-файлы);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е) сведения и материалы, содержащие информацию, доступ к которой ограничен.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11. Приложения к Отчету составляются на электронном носителе в форме упакованных (архивированных) электронных документов в соответствии с настоящими Требованиями.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Каждое из приложений к Отчету подписывается усиленной квалифицированной электронной подписью в формате, обеспечивающем просмотр и копирование подписанных электронных документов без использования специальных программных средств.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Каждое из приложений к Отчету подписывается работниками бюджетного учреждения, непосредственно осуществившими определение кадастровой стоимости, руководителем такого </w:t>
      </w:r>
      <w:r>
        <w:lastRenderedPageBreak/>
        <w:t>бюджетного учреждения.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Title"/>
        <w:jc w:val="center"/>
        <w:outlineLvl w:val="1"/>
      </w:pPr>
      <w:r>
        <w:t>IV. Требования к Отчету в форме электронного документа</w:t>
      </w:r>
    </w:p>
    <w:p w:rsidR="00D11542" w:rsidRDefault="00D11542">
      <w:pPr>
        <w:pStyle w:val="ConsPlusTitle"/>
        <w:jc w:val="center"/>
      </w:pPr>
      <w:r>
        <w:t>на электронном носителе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ind w:firstLine="540"/>
        <w:jc w:val="both"/>
      </w:pPr>
      <w:r>
        <w:t>12. Основная часть Отчета, составленная на электронном носителе, текстовые части, таблицы приложений к Отчету должны быть сформированы в формате OpenDocument для офисных приложений (OpenDocument) в версии, актуальной на дату составления Отчета.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XML-файлы формируются на основе актуальных версий XML-схем, размещенных на дату проведения государственной кадастровой оценки на официальном сайте уполномоченного федерального органа исполнительной власти, осуществляющего государственный кадастровый учет и государственную регистрацию прав, в информационно-телекоммуникационной сети "Интернет" (далее соответственно - XML-схема, официальный сайт) и обеспечивающих считывание сведений, содержащихся в Отчете, в соответствии с особенностями формирования XML-файлов, размещенными на официальном сайте.</w:t>
      </w:r>
      <w:proofErr w:type="gramEnd"/>
    </w:p>
    <w:p w:rsidR="00D11542" w:rsidRDefault="00D11542">
      <w:pPr>
        <w:pStyle w:val="ConsPlusNormal"/>
        <w:spacing w:before="220"/>
        <w:ind w:firstLine="540"/>
        <w:jc w:val="both"/>
      </w:pPr>
      <w:r>
        <w:t>XML-файлы должны быть сформированы в отношении всех объектов недвижимости, включенных в перечень.</w:t>
      </w:r>
    </w:p>
    <w:p w:rsidR="00D11542" w:rsidRDefault="00D11542">
      <w:pPr>
        <w:pStyle w:val="ConsPlusNormal"/>
        <w:spacing w:before="220"/>
        <w:ind w:firstLine="540"/>
        <w:jc w:val="both"/>
      </w:pPr>
      <w:r>
        <w:t>XML-схемы считаются введенными в действие с момента их размещения на официальном сайте.</w:t>
      </w: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jc w:val="both"/>
      </w:pPr>
    </w:p>
    <w:p w:rsidR="00D11542" w:rsidRDefault="00D11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4" w:name="_GoBack"/>
      <w:bookmarkEnd w:id="4"/>
    </w:p>
    <w:sectPr w:rsidR="00070C24" w:rsidSect="00BD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2"/>
    <w:rsid w:val="00070C24"/>
    <w:rsid w:val="00D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F50F3A6A9CAB4762D2597CC0B925385A7DEC248A5BD848A06F23B85094E23DD4C3F6E70F2BC3D8F784194032328DB6E85B826D5091388CE2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F50F3A6A9CAB4762D2597CC0B925385A6D8C64EA9BD848A06F23B85094E23DD4C3F6C78F1B769D73740C845753BD96585BA2EC9C02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F50F3A6A9CAB4762D2597CC0B925385A6D0C84CAEBD848A06F23B85094E23DD4C3F6E70F2BD3C86784194032328DB6E85B826D5091388CE22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F50F3A6A9CAB4762D2597CC0B925385A7DEC248A5BD848A06F23B85094E23DD4C3F6E70F2BC3D8F784194032328DB6E85B826D5091388CE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2020-08-23T08:54:00Z</dcterms:created>
  <dcterms:modified xsi:type="dcterms:W3CDTF">2020-08-23T08:54:00Z</dcterms:modified>
</cp:coreProperties>
</file>